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ind w:left="284"/>
        <w:jc w:val="right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left="284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.2025г. по данному факту уполномоченным должностным лицом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№86172514600</w:t>
      </w:r>
      <w:r>
        <w:rPr>
          <w:rFonts w:ascii="Times New Roman" w:eastAsia="Times New Roman" w:hAnsi="Times New Roman" w:cs="Times New Roman"/>
          <w:sz w:val="26"/>
          <w:szCs w:val="26"/>
        </w:rPr>
        <w:t>2262</w:t>
      </w:r>
      <w:r>
        <w:rPr>
          <w:rFonts w:ascii="Times New Roman" w:eastAsia="Times New Roman" w:hAnsi="Times New Roman" w:cs="Times New Roman"/>
          <w:sz w:val="26"/>
          <w:szCs w:val="26"/>
        </w:rPr>
        <w:t>00002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частью 1 статьи 19.5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(ч. 12 ст. 19.5 КоАП РФ).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Субъектами административной ответственности, установленной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19.5 Кодекса Российской Федерации об административных правонарушениях, являются граждане, должностные и юридические лица.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№86172514600226200002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05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об административном правонарушении; предписанием от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2025, выпиской из ЕГРИП, и другими материалами дела.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административного правонарушения, предусмотренного частью 1 статьи 19.5 КоАП РФ. Срок исполнения предписания истек </w:t>
      </w:r>
      <w:r>
        <w:rPr>
          <w:rFonts w:ascii="Times New Roman" w:eastAsia="Times New Roman" w:hAnsi="Times New Roman" w:cs="Times New Roman"/>
          <w:sz w:val="26"/>
          <w:szCs w:val="26"/>
        </w:rPr>
        <w:t>27.02</w:t>
      </w:r>
      <w:r>
        <w:rPr>
          <w:rFonts w:ascii="Times New Roman" w:eastAsia="Times New Roman" w:hAnsi="Times New Roman" w:cs="Times New Roman"/>
          <w:sz w:val="26"/>
          <w:szCs w:val="26"/>
        </w:rPr>
        <w:t>.2025г., его действие не было приостановлено в судебном порядке, доказательств его исполнения суду не представлено.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частью 1 статьи 19.5 КоАП РФ.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19.5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 установленный срок законного предписания органа,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контроль, об устранении нарушений законодательства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данные о личности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left="284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предусмотренном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0412365400135012012519113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left="561" w:firstLine="42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9">
    <w:name w:val="cat-UserDefined grp-3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